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9E05" w14:textId="70AEA390" w:rsidR="00BA4395" w:rsidRPr="000E1BE7" w:rsidRDefault="68B810C1" w:rsidP="3DA50229">
      <w:pPr>
        <w:spacing w:before="240" w:after="240"/>
        <w:rPr>
          <w:rFonts w:ascii="Arial" w:eastAsia="Arial" w:hAnsi="Arial" w:cs="Arial"/>
          <w:lang w:val="de-DE"/>
        </w:rPr>
      </w:pPr>
      <w:r w:rsidRPr="000E1BE7">
        <w:rPr>
          <w:rFonts w:ascii="Arial" w:eastAsia="Arial" w:hAnsi="Arial" w:cs="Arial"/>
          <w:lang w:val="de-DE"/>
        </w:rPr>
        <w:t>Sehr geehrte/r [NAME EINFÜGEN]:</w:t>
      </w:r>
    </w:p>
    <w:p w14:paraId="46A55B2B" w14:textId="02B1C329" w:rsidR="00BA4395" w:rsidRDefault="68B810C1" w:rsidP="3DA50229">
      <w:pPr>
        <w:spacing w:before="240" w:after="240"/>
        <w:rPr>
          <w:rFonts w:ascii="Arial" w:eastAsia="Arial" w:hAnsi="Arial" w:cs="Arial"/>
          <w:lang w:val="de-DE"/>
        </w:rPr>
      </w:pPr>
      <w:r w:rsidRPr="3DA50229">
        <w:rPr>
          <w:rFonts w:ascii="Arial" w:eastAsia="Arial" w:hAnsi="Arial" w:cs="Arial"/>
          <w:lang w:val="de-DE"/>
        </w:rPr>
        <w:t xml:space="preserve">Ich bitte um die Genehmigung zur Teilnahme am C2C Live-Anwenderforum von Cellebrite in </w:t>
      </w:r>
      <w:r w:rsidRPr="3DA50229">
        <w:rPr>
          <w:rFonts w:ascii="Arial" w:eastAsia="Arial" w:hAnsi="Arial" w:cs="Arial"/>
          <w:highlight w:val="yellow"/>
          <w:lang w:val="de-DE"/>
        </w:rPr>
        <w:t>*Ort einfügen*</w:t>
      </w:r>
      <w:r w:rsidRPr="3DA50229">
        <w:rPr>
          <w:rFonts w:ascii="Arial" w:eastAsia="Arial" w:hAnsi="Arial" w:cs="Arial"/>
          <w:lang w:val="de-DE"/>
        </w:rPr>
        <w:t xml:space="preserve">, das am </w:t>
      </w:r>
      <w:r w:rsidRPr="3DA50229">
        <w:rPr>
          <w:rFonts w:ascii="Arial" w:eastAsia="Arial" w:hAnsi="Arial" w:cs="Arial"/>
          <w:highlight w:val="yellow"/>
          <w:lang w:val="de-DE"/>
        </w:rPr>
        <w:t>*Datum einfügen*</w:t>
      </w:r>
      <w:r w:rsidRPr="3DA50229">
        <w:rPr>
          <w:rFonts w:ascii="Arial" w:eastAsia="Arial" w:hAnsi="Arial" w:cs="Arial"/>
          <w:lang w:val="de-DE"/>
        </w:rPr>
        <w:t xml:space="preserve"> in </w:t>
      </w:r>
      <w:r w:rsidRPr="3DA50229">
        <w:rPr>
          <w:rFonts w:ascii="Arial" w:eastAsia="Arial" w:hAnsi="Arial" w:cs="Arial"/>
          <w:highlight w:val="yellow"/>
          <w:lang w:val="de-DE"/>
        </w:rPr>
        <w:t>*Ort einfügen*</w:t>
      </w:r>
      <w:r w:rsidRPr="3DA50229">
        <w:rPr>
          <w:rFonts w:ascii="Arial" w:eastAsia="Arial" w:hAnsi="Arial" w:cs="Arial"/>
          <w:lang w:val="de-DE"/>
        </w:rPr>
        <w:t xml:space="preserve"> stattfindet. Diese Konferenz stellt eine wertvolle Gelegenheit für meine berufliche Weiterentwicklung im Bereich der digitalen Forensik und Ermittlungsarbeit dar und wird unserem gesamten Unternehmen zugutekommen.</w:t>
      </w:r>
    </w:p>
    <w:p w14:paraId="3D791CAC" w14:textId="7AE82016" w:rsidR="00BA4395" w:rsidRPr="00824309" w:rsidRDefault="68B810C1" w:rsidP="3DA50229">
      <w:pPr>
        <w:spacing w:before="240" w:after="240"/>
        <w:rPr>
          <w:rFonts w:ascii="Arial" w:eastAsia="Arial" w:hAnsi="Arial" w:cs="Arial"/>
          <w:lang w:val="de-DE"/>
        </w:rPr>
      </w:pPr>
      <w:r w:rsidRPr="00824309">
        <w:rPr>
          <w:rFonts w:ascii="Arial" w:eastAsia="Arial" w:hAnsi="Arial" w:cs="Arial"/>
          <w:lang w:val="de-DE"/>
        </w:rPr>
        <w:t>Während des C2C Live-Anwenderforums werde ich:</w:t>
      </w:r>
    </w:p>
    <w:p w14:paraId="3CF4DBF7" w14:textId="385C108C" w:rsidR="00BA4395" w:rsidRDefault="6B35175F" w:rsidP="3DA50229">
      <w:pPr>
        <w:pStyle w:val="ListParagraph"/>
        <w:numPr>
          <w:ilvl w:val="0"/>
          <w:numId w:val="1"/>
        </w:numPr>
        <w:spacing w:before="240" w:after="240"/>
        <w:rPr>
          <w:rFonts w:ascii="Arial" w:eastAsia="Arial" w:hAnsi="Arial" w:cs="Arial"/>
          <w:lang w:val="de-DE"/>
        </w:rPr>
      </w:pPr>
      <w:r w:rsidRPr="3DA50229">
        <w:rPr>
          <w:rFonts w:ascii="Arial" w:eastAsia="Arial" w:hAnsi="Arial" w:cs="Arial"/>
          <w:lang w:val="de-DE"/>
        </w:rPr>
        <w:t>An</w:t>
      </w:r>
      <w:r w:rsidR="68B810C1" w:rsidRPr="3DA50229">
        <w:rPr>
          <w:rFonts w:ascii="Arial" w:eastAsia="Arial" w:hAnsi="Arial" w:cs="Arial"/>
          <w:lang w:val="de-DE"/>
        </w:rPr>
        <w:t xml:space="preserve"> von Experten geleiteten Sitzungen zu den neuesten Entwicklungen in der digitalen Forensik und bei Ermittlungslösungen teilnehmen, darunter Fallstudien, Präsentationen zu bewährten Verfahren in der Branche und die interaktive „Solve Suite“ von Cellebrite.</w:t>
      </w:r>
    </w:p>
    <w:p w14:paraId="59FEBEC1" w14:textId="429CA622" w:rsidR="00BA4395" w:rsidRDefault="3DD0B2AB" w:rsidP="3DA50229">
      <w:pPr>
        <w:pStyle w:val="ListParagraph"/>
        <w:numPr>
          <w:ilvl w:val="0"/>
          <w:numId w:val="1"/>
        </w:numPr>
        <w:spacing w:before="240" w:after="240"/>
        <w:rPr>
          <w:rFonts w:ascii="Arial" w:eastAsia="Arial" w:hAnsi="Arial" w:cs="Arial"/>
        </w:rPr>
      </w:pPr>
      <w:r w:rsidRPr="3DA50229">
        <w:rPr>
          <w:rFonts w:ascii="Arial" w:eastAsia="Arial" w:hAnsi="Arial" w:cs="Arial"/>
          <w:lang w:val="de-DE"/>
        </w:rPr>
        <w:t>D</w:t>
      </w:r>
      <w:r w:rsidR="68B810C1" w:rsidRPr="3DA50229">
        <w:rPr>
          <w:rFonts w:ascii="Arial" w:eastAsia="Arial" w:hAnsi="Arial" w:cs="Arial"/>
          <w:lang w:val="de-DE"/>
        </w:rPr>
        <w:t>ie Gelegenheit nutzen, mich mit den besten und klügsten Köpfen der Branche, darunter Führungskräfte und angesehene Kollegen, zu vernetzen. Während der Tagung an Cellebrite-Schulungen teilnehmen, insbesondere:</w:t>
      </w:r>
    </w:p>
    <w:p w14:paraId="0998693A" w14:textId="315E0F09" w:rsidR="00BA4395" w:rsidRDefault="68B810C1" w:rsidP="3DA50229">
      <w:pPr>
        <w:pStyle w:val="ListParagraph"/>
        <w:numPr>
          <w:ilvl w:val="2"/>
          <w:numId w:val="1"/>
        </w:numPr>
        <w:spacing w:before="240" w:after="240"/>
        <w:rPr>
          <w:rFonts w:ascii="Arial" w:eastAsia="Arial" w:hAnsi="Arial" w:cs="Arial"/>
          <w:lang w:val="de-DE"/>
        </w:rPr>
      </w:pPr>
      <w:r w:rsidRPr="3DA50229">
        <w:rPr>
          <w:rFonts w:ascii="Arial" w:eastAsia="Arial" w:hAnsi="Arial" w:cs="Arial"/>
          <w:lang w:val="de-DE"/>
        </w:rPr>
        <w:t>C2C-Sonderangebot mit vergünstigten Credits</w:t>
      </w:r>
    </w:p>
    <w:p w14:paraId="3B8A4A8E" w14:textId="38A6E925" w:rsidR="00BA4395" w:rsidRPr="00824309" w:rsidRDefault="68B810C1" w:rsidP="3DA50229">
      <w:pPr>
        <w:pStyle w:val="ListParagraph"/>
        <w:numPr>
          <w:ilvl w:val="2"/>
          <w:numId w:val="1"/>
        </w:numPr>
        <w:spacing w:before="240" w:after="240"/>
        <w:rPr>
          <w:rFonts w:ascii="Arial" w:eastAsia="Arial" w:hAnsi="Arial" w:cs="Arial"/>
          <w:lang w:val="de-DE"/>
        </w:rPr>
      </w:pPr>
      <w:r w:rsidRPr="3DA50229">
        <w:rPr>
          <w:rFonts w:ascii="Arial" w:eastAsia="Arial" w:hAnsi="Arial" w:cs="Arial"/>
          <w:lang w:val="de-DE"/>
        </w:rPr>
        <w:t>Flexible Nutzung: Die Credits können für jeden Kurs in unserem Katalog verwendet werden.</w:t>
      </w:r>
    </w:p>
    <w:p w14:paraId="6D2328B2" w14:textId="1591718D" w:rsidR="00BA4395" w:rsidRDefault="68B810C1" w:rsidP="3DA50229">
      <w:pPr>
        <w:pStyle w:val="ListParagraph"/>
        <w:numPr>
          <w:ilvl w:val="2"/>
          <w:numId w:val="1"/>
        </w:numPr>
        <w:spacing w:before="240" w:after="240"/>
        <w:rPr>
          <w:rFonts w:ascii="Arial" w:eastAsia="Arial" w:hAnsi="Arial" w:cs="Arial"/>
        </w:rPr>
      </w:pPr>
      <w:r w:rsidRPr="3DA50229">
        <w:rPr>
          <w:rFonts w:ascii="Arial" w:eastAsia="Arial" w:hAnsi="Arial" w:cs="Arial"/>
        </w:rPr>
        <w:t>Kostenlose Plätze: Pro 15 geschulte Teilnehmer erhalten Sie 2 zusätzliche Plätze für Präsenzveranstaltungen kostenlos.</w:t>
      </w:r>
    </w:p>
    <w:p w14:paraId="2EE181E3" w14:textId="3E9EB2B0" w:rsidR="00BA4395" w:rsidRDefault="68B810C1" w:rsidP="3DA50229">
      <w:pPr>
        <w:pStyle w:val="ListParagraph"/>
        <w:numPr>
          <w:ilvl w:val="2"/>
          <w:numId w:val="1"/>
        </w:numPr>
        <w:spacing w:before="240" w:after="240"/>
        <w:rPr>
          <w:rFonts w:ascii="Arial" w:eastAsia="Arial" w:hAnsi="Arial" w:cs="Arial"/>
        </w:rPr>
      </w:pPr>
      <w:r w:rsidRPr="3DA50229">
        <w:rPr>
          <w:rFonts w:ascii="Arial" w:eastAsia="Arial" w:hAnsi="Arial" w:cs="Arial"/>
        </w:rPr>
        <w:t>Umfassender Support: Umfassender Support durch einen Training Account Manager sowie Bereitstellung von Ausrüstung und Trainern vor Ort ohne zusätzliche Kosten. (Nur für gehostete Kurse)</w:t>
      </w:r>
    </w:p>
    <w:p w14:paraId="291360B6" w14:textId="45D89DB5" w:rsidR="00BA4395" w:rsidRDefault="68B810C1" w:rsidP="3DA50229">
      <w:pPr>
        <w:spacing w:before="240" w:after="240"/>
        <w:rPr>
          <w:rFonts w:ascii="Arial" w:eastAsia="Arial" w:hAnsi="Arial" w:cs="Arial"/>
        </w:rPr>
      </w:pPr>
      <w:r w:rsidRPr="3DA50229">
        <w:rPr>
          <w:rFonts w:ascii="Arial" w:eastAsia="Arial" w:hAnsi="Arial" w:cs="Arial"/>
        </w:rPr>
        <w:t>Das Wissen, das ich von diesen wertvollen Vortragenden über die neuesten Trends, Lösungen und Methoden erhalte, kann ich direkt in meiner Arbeit anwenden. Die Schulungen sind so konzipiert, dass sie praktisches, umsetzbares Know-how vermitteln, das ich mitnehmen und zur Verbesserung unserer aktuellen Prozesse nutzen kann.</w:t>
      </w:r>
    </w:p>
    <w:p w14:paraId="26F2E88A" w14:textId="23B52004" w:rsidR="00BA4395" w:rsidRDefault="68B810C1" w:rsidP="3DA50229">
      <w:pPr>
        <w:spacing w:before="240" w:after="240"/>
        <w:rPr>
          <w:rFonts w:ascii="Arial" w:eastAsia="Arial" w:hAnsi="Arial" w:cs="Arial"/>
        </w:rPr>
      </w:pPr>
      <w:r w:rsidRPr="3DA50229">
        <w:rPr>
          <w:rFonts w:ascii="Arial" w:eastAsia="Arial" w:hAnsi="Arial" w:cs="Arial"/>
        </w:rPr>
        <w:t>Insbesondere möchte ich mich auf die Suche nach Lösungen oder Best Practices konzentrieren, die für diese Projekte nützlich sein könnten:</w:t>
      </w:r>
    </w:p>
    <w:p w14:paraId="05F0751B" w14:textId="0560F95E" w:rsidR="00BA4395" w:rsidRDefault="68B810C1" w:rsidP="3DA50229">
      <w:pPr>
        <w:pStyle w:val="ListParagraph"/>
        <w:numPr>
          <w:ilvl w:val="0"/>
          <w:numId w:val="2"/>
        </w:numPr>
        <w:spacing w:before="240" w:after="240"/>
        <w:rPr>
          <w:rFonts w:ascii="Arial" w:eastAsia="Arial" w:hAnsi="Arial" w:cs="Arial"/>
        </w:rPr>
      </w:pPr>
      <w:r w:rsidRPr="3DA50229">
        <w:rPr>
          <w:rFonts w:ascii="Arial" w:eastAsia="Arial" w:hAnsi="Arial" w:cs="Arial"/>
        </w:rPr>
        <w:t>[Projekt oder Initiative einfügen]</w:t>
      </w:r>
    </w:p>
    <w:p w14:paraId="60021AAC" w14:textId="667A432A" w:rsidR="00BA4395" w:rsidRDefault="68B810C1" w:rsidP="3DA50229">
      <w:pPr>
        <w:pStyle w:val="ListParagraph"/>
        <w:numPr>
          <w:ilvl w:val="0"/>
          <w:numId w:val="2"/>
        </w:numPr>
        <w:spacing w:before="240" w:after="240"/>
        <w:rPr>
          <w:rFonts w:ascii="Arial" w:eastAsia="Arial" w:hAnsi="Arial" w:cs="Arial"/>
        </w:rPr>
      </w:pPr>
      <w:r w:rsidRPr="3DA50229">
        <w:rPr>
          <w:rFonts w:ascii="Arial" w:eastAsia="Arial" w:hAnsi="Arial" w:cs="Arial"/>
        </w:rPr>
        <w:t>[Projekt oder Initiative einfügen]</w:t>
      </w:r>
    </w:p>
    <w:p w14:paraId="21FF38FA" w14:textId="1343EE79" w:rsidR="00BA4395" w:rsidRDefault="68B810C1" w:rsidP="3DA50229">
      <w:pPr>
        <w:pStyle w:val="ListParagraph"/>
        <w:numPr>
          <w:ilvl w:val="0"/>
          <w:numId w:val="2"/>
        </w:numPr>
        <w:spacing w:before="240" w:after="240"/>
        <w:rPr>
          <w:rFonts w:ascii="Arial" w:eastAsia="Arial" w:hAnsi="Arial" w:cs="Arial"/>
        </w:rPr>
      </w:pPr>
      <w:r w:rsidRPr="3DA50229">
        <w:rPr>
          <w:rFonts w:ascii="Arial" w:eastAsia="Arial" w:hAnsi="Arial" w:cs="Arial"/>
        </w:rPr>
        <w:t>[Projekt oder Initiative einfügen]</w:t>
      </w:r>
    </w:p>
    <w:p w14:paraId="4CB5061A" w14:textId="549540DB" w:rsidR="00BA4395" w:rsidRDefault="68B810C1" w:rsidP="3DA50229">
      <w:pPr>
        <w:spacing w:before="240" w:after="240"/>
        <w:rPr>
          <w:rFonts w:ascii="Arial" w:eastAsia="Arial" w:hAnsi="Arial" w:cs="Arial"/>
        </w:rPr>
      </w:pPr>
      <w:r w:rsidRPr="3DA50229">
        <w:rPr>
          <w:rFonts w:ascii="Arial" w:eastAsia="Arial" w:hAnsi="Arial" w:cs="Arial"/>
        </w:rPr>
        <w:t>Hier ist eine grobe Aufschlüsselung der Konferenzkosten:</w:t>
      </w:r>
    </w:p>
    <w:tbl>
      <w:tblPr>
        <w:tblStyle w:val="PlainTable4"/>
        <w:tblW w:w="0" w:type="auto"/>
        <w:tblLook w:val="06A0" w:firstRow="1" w:lastRow="0" w:firstColumn="1" w:lastColumn="0" w:noHBand="1" w:noVBand="1"/>
      </w:tblPr>
      <w:tblGrid>
        <w:gridCol w:w="4680"/>
        <w:gridCol w:w="4680"/>
      </w:tblGrid>
      <w:tr w:rsidR="3DA50229" w14:paraId="621B35BC" w14:textId="77777777" w:rsidTr="3DA502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tcPr>
          <w:p w14:paraId="3CB225C9" w14:textId="4196C843" w:rsidR="06353344" w:rsidRDefault="06353344" w:rsidP="3DA50229">
            <w:pPr>
              <w:rPr>
                <w:rFonts w:ascii="Arial" w:eastAsia="Arial" w:hAnsi="Arial" w:cs="Arial"/>
              </w:rPr>
            </w:pPr>
            <w:r w:rsidRPr="3DA50229">
              <w:rPr>
                <w:rFonts w:ascii="Arial" w:eastAsia="Arial" w:hAnsi="Arial" w:cs="Arial"/>
              </w:rPr>
              <w:t>Nahverkehr</w:t>
            </w:r>
          </w:p>
        </w:tc>
        <w:tc>
          <w:tcPr>
            <w:tcW w:w="4680" w:type="dxa"/>
          </w:tcPr>
          <w:p w14:paraId="3427E30D" w14:textId="47E8CE3E" w:rsidR="06353344" w:rsidRDefault="06353344" w:rsidP="3DA50229">
            <w:pPr>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3DA50229">
              <w:rPr>
                <w:rFonts w:ascii="Arial" w:eastAsia="Arial" w:hAnsi="Arial" w:cs="Arial"/>
              </w:rPr>
              <w:t>XXX</w:t>
            </w:r>
          </w:p>
        </w:tc>
      </w:tr>
      <w:tr w:rsidR="3DA50229" w14:paraId="4B39A6D4" w14:textId="77777777" w:rsidTr="3DA50229">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0A2914C1" w14:textId="54D38658" w:rsidR="06353344" w:rsidRDefault="06353344" w:rsidP="3DA50229">
            <w:pPr>
              <w:rPr>
                <w:rFonts w:ascii="Arial" w:eastAsia="Arial" w:hAnsi="Arial" w:cs="Arial"/>
              </w:rPr>
            </w:pPr>
            <w:r w:rsidRPr="3DA50229">
              <w:rPr>
                <w:rFonts w:ascii="Arial" w:eastAsia="Arial" w:hAnsi="Arial" w:cs="Arial"/>
              </w:rPr>
              <w:t>Hotelunterkunft</w:t>
            </w:r>
          </w:p>
        </w:tc>
        <w:tc>
          <w:tcPr>
            <w:tcW w:w="4680" w:type="dxa"/>
          </w:tcPr>
          <w:p w14:paraId="4950BA63" w14:textId="68186C79" w:rsidR="06353344" w:rsidRDefault="06353344" w:rsidP="3DA50229">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DA50229">
              <w:rPr>
                <w:rFonts w:ascii="Arial" w:eastAsia="Arial" w:hAnsi="Arial" w:cs="Arial"/>
              </w:rPr>
              <w:t>XXX</w:t>
            </w:r>
          </w:p>
        </w:tc>
      </w:tr>
      <w:tr w:rsidR="3DA50229" w14:paraId="4E4A6BCF" w14:textId="77777777" w:rsidTr="3DA50229">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1D681EBC" w14:textId="58089DEE" w:rsidR="06353344" w:rsidRDefault="06353344" w:rsidP="3DA50229">
            <w:pPr>
              <w:rPr>
                <w:rFonts w:ascii="Arial" w:eastAsia="Arial" w:hAnsi="Arial" w:cs="Arial"/>
              </w:rPr>
            </w:pPr>
            <w:r w:rsidRPr="3DA50229">
              <w:rPr>
                <w:rFonts w:ascii="Arial" w:eastAsia="Arial" w:hAnsi="Arial" w:cs="Arial"/>
              </w:rPr>
              <w:t>Verpflegung</w:t>
            </w:r>
          </w:p>
        </w:tc>
        <w:tc>
          <w:tcPr>
            <w:tcW w:w="4680" w:type="dxa"/>
          </w:tcPr>
          <w:p w14:paraId="38681AD9" w14:textId="71B03927" w:rsidR="06353344" w:rsidRDefault="06353344" w:rsidP="3DA50229">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DA50229">
              <w:rPr>
                <w:rFonts w:ascii="Arial" w:eastAsia="Arial" w:hAnsi="Arial" w:cs="Arial"/>
              </w:rPr>
              <w:t>XXX</w:t>
            </w:r>
          </w:p>
        </w:tc>
      </w:tr>
      <w:tr w:rsidR="3DA50229" w14:paraId="39233779" w14:textId="77777777" w:rsidTr="3DA50229">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79640AB8" w14:textId="00A0D9B0" w:rsidR="06353344" w:rsidRDefault="06353344" w:rsidP="3DA50229">
            <w:pPr>
              <w:rPr>
                <w:rFonts w:ascii="Arial" w:eastAsia="Arial" w:hAnsi="Arial" w:cs="Arial"/>
              </w:rPr>
            </w:pPr>
            <w:r w:rsidRPr="3DA50229">
              <w:rPr>
                <w:rFonts w:ascii="Arial" w:eastAsia="Arial" w:hAnsi="Arial" w:cs="Arial"/>
              </w:rPr>
              <w:t>Anmeldung*</w:t>
            </w:r>
          </w:p>
        </w:tc>
        <w:tc>
          <w:tcPr>
            <w:tcW w:w="4680" w:type="dxa"/>
          </w:tcPr>
          <w:p w14:paraId="34DC67EC" w14:textId="221B0743" w:rsidR="06353344" w:rsidRDefault="06353344" w:rsidP="3DA50229">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bCs/>
                <w:highlight w:val="yellow"/>
              </w:rPr>
            </w:pPr>
            <w:r w:rsidRPr="3DA50229">
              <w:rPr>
                <w:rFonts w:ascii="Arial" w:eastAsia="Arial" w:hAnsi="Arial" w:cs="Arial"/>
                <w:b/>
                <w:bCs/>
                <w:highlight w:val="yellow"/>
              </w:rPr>
              <w:t>KOSTENLOS</w:t>
            </w:r>
          </w:p>
        </w:tc>
      </w:tr>
      <w:tr w:rsidR="3DA50229" w14:paraId="6106B62D" w14:textId="77777777" w:rsidTr="3DA50229">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1D9F6CA1" w14:textId="44142742" w:rsidR="06353344" w:rsidRDefault="06353344" w:rsidP="3DA50229">
            <w:pPr>
              <w:jc w:val="right"/>
              <w:rPr>
                <w:rFonts w:ascii="Arial" w:eastAsia="Arial" w:hAnsi="Arial" w:cs="Arial"/>
              </w:rPr>
            </w:pPr>
            <w:r w:rsidRPr="3DA50229">
              <w:rPr>
                <w:rFonts w:ascii="Arial" w:eastAsia="Arial" w:hAnsi="Arial" w:cs="Arial"/>
              </w:rPr>
              <w:t>Gesamt</w:t>
            </w:r>
          </w:p>
        </w:tc>
        <w:tc>
          <w:tcPr>
            <w:tcW w:w="4680" w:type="dxa"/>
          </w:tcPr>
          <w:p w14:paraId="2DC35909" w14:textId="06C64127" w:rsidR="06353344" w:rsidRDefault="06353344" w:rsidP="3DA50229">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DA50229">
              <w:rPr>
                <w:rFonts w:ascii="Arial" w:eastAsia="Arial" w:hAnsi="Arial" w:cs="Arial"/>
              </w:rPr>
              <w:t>XXX</w:t>
            </w:r>
          </w:p>
        </w:tc>
      </w:tr>
    </w:tbl>
    <w:p w14:paraId="00DB0462" w14:textId="1E2B9D67" w:rsidR="00BA4395" w:rsidRDefault="00BA4395" w:rsidP="3DA50229">
      <w:pPr>
        <w:spacing w:before="240" w:after="240"/>
        <w:rPr>
          <w:rFonts w:ascii="Arial" w:eastAsia="Arial" w:hAnsi="Arial" w:cs="Arial"/>
        </w:rPr>
      </w:pPr>
    </w:p>
    <w:p w14:paraId="2DAB0D44" w14:textId="3EFE131E" w:rsidR="00BA4395" w:rsidRDefault="68B810C1" w:rsidP="3DA50229">
      <w:pPr>
        <w:spacing w:before="240" w:after="240"/>
        <w:rPr>
          <w:rFonts w:ascii="Arial" w:eastAsia="Arial" w:hAnsi="Arial" w:cs="Arial"/>
        </w:rPr>
      </w:pPr>
      <w:r w:rsidRPr="3DA50229">
        <w:rPr>
          <w:rFonts w:ascii="Arial" w:eastAsia="Arial" w:hAnsi="Arial" w:cs="Arial"/>
        </w:rPr>
        <w:t>Die Teilnahme am Programm ist kostenlos.</w:t>
      </w:r>
    </w:p>
    <w:p w14:paraId="4B8DDBC9" w14:textId="4FE8B234" w:rsidR="00BA4395" w:rsidRDefault="68B810C1" w:rsidP="3DA50229">
      <w:pPr>
        <w:spacing w:before="240" w:after="240"/>
        <w:rPr>
          <w:rFonts w:ascii="Arial" w:eastAsia="Arial" w:hAnsi="Arial" w:cs="Arial"/>
        </w:rPr>
      </w:pPr>
      <w:r w:rsidRPr="3DA50229">
        <w:rPr>
          <w:rFonts w:ascii="Arial" w:eastAsia="Arial" w:hAnsi="Arial" w:cs="Arial"/>
        </w:rPr>
        <w:t>Vielen Dank für die Prüfung dieses Antrags. Ich freue mich auf Ihre Antwort.</w:t>
      </w:r>
    </w:p>
    <w:p w14:paraId="36B2772A" w14:textId="3133A057" w:rsidR="00BA4395" w:rsidRDefault="68B810C1" w:rsidP="3DA50229">
      <w:pPr>
        <w:spacing w:before="240" w:after="240"/>
        <w:rPr>
          <w:rFonts w:ascii="Arial" w:eastAsia="Arial" w:hAnsi="Arial" w:cs="Arial"/>
        </w:rPr>
      </w:pPr>
      <w:r w:rsidRPr="3DA50229">
        <w:rPr>
          <w:rFonts w:ascii="Arial" w:eastAsia="Arial" w:hAnsi="Arial" w:cs="Arial"/>
        </w:rPr>
        <w:t>Mit freundlichen Grüßen</w:t>
      </w:r>
    </w:p>
    <w:p w14:paraId="2C078E63" w14:textId="5EBFDCF9" w:rsidR="00BA4395" w:rsidRDefault="00BA4395"/>
    <w:sectPr w:rsidR="00BA4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021C"/>
    <w:multiLevelType w:val="hybridMultilevel"/>
    <w:tmpl w:val="FFFFFFFF"/>
    <w:lvl w:ilvl="0" w:tplc="4B7C30D2">
      <w:start w:val="1"/>
      <w:numFmt w:val="bullet"/>
      <w:lvlText w:val=""/>
      <w:lvlJc w:val="left"/>
      <w:pPr>
        <w:ind w:left="720" w:hanging="360"/>
      </w:pPr>
      <w:rPr>
        <w:rFonts w:ascii="Symbol" w:hAnsi="Symbol" w:hint="default"/>
      </w:rPr>
    </w:lvl>
    <w:lvl w:ilvl="1" w:tplc="33EC3D7C">
      <w:start w:val="1"/>
      <w:numFmt w:val="bullet"/>
      <w:lvlText w:val="o"/>
      <w:lvlJc w:val="left"/>
      <w:pPr>
        <w:ind w:left="1440" w:hanging="360"/>
      </w:pPr>
      <w:rPr>
        <w:rFonts w:ascii="Courier New" w:hAnsi="Courier New" w:hint="default"/>
      </w:rPr>
    </w:lvl>
    <w:lvl w:ilvl="2" w:tplc="235A910E">
      <w:start w:val="1"/>
      <w:numFmt w:val="bullet"/>
      <w:lvlText w:val=""/>
      <w:lvlJc w:val="left"/>
      <w:pPr>
        <w:ind w:left="2160" w:hanging="360"/>
      </w:pPr>
      <w:rPr>
        <w:rFonts w:ascii="Wingdings" w:hAnsi="Wingdings" w:hint="default"/>
      </w:rPr>
    </w:lvl>
    <w:lvl w:ilvl="3" w:tplc="2D5C9C0C">
      <w:start w:val="1"/>
      <w:numFmt w:val="bullet"/>
      <w:lvlText w:val=""/>
      <w:lvlJc w:val="left"/>
      <w:pPr>
        <w:ind w:left="2880" w:hanging="360"/>
      </w:pPr>
      <w:rPr>
        <w:rFonts w:ascii="Symbol" w:hAnsi="Symbol" w:hint="default"/>
      </w:rPr>
    </w:lvl>
    <w:lvl w:ilvl="4" w:tplc="EC2872D8">
      <w:start w:val="1"/>
      <w:numFmt w:val="bullet"/>
      <w:lvlText w:val="o"/>
      <w:lvlJc w:val="left"/>
      <w:pPr>
        <w:ind w:left="3600" w:hanging="360"/>
      </w:pPr>
      <w:rPr>
        <w:rFonts w:ascii="Courier New" w:hAnsi="Courier New" w:hint="default"/>
      </w:rPr>
    </w:lvl>
    <w:lvl w:ilvl="5" w:tplc="67F237C4">
      <w:start w:val="1"/>
      <w:numFmt w:val="bullet"/>
      <w:lvlText w:val=""/>
      <w:lvlJc w:val="left"/>
      <w:pPr>
        <w:ind w:left="4320" w:hanging="360"/>
      </w:pPr>
      <w:rPr>
        <w:rFonts w:ascii="Wingdings" w:hAnsi="Wingdings" w:hint="default"/>
      </w:rPr>
    </w:lvl>
    <w:lvl w:ilvl="6" w:tplc="DF0C635E">
      <w:start w:val="1"/>
      <w:numFmt w:val="bullet"/>
      <w:lvlText w:val=""/>
      <w:lvlJc w:val="left"/>
      <w:pPr>
        <w:ind w:left="5040" w:hanging="360"/>
      </w:pPr>
      <w:rPr>
        <w:rFonts w:ascii="Symbol" w:hAnsi="Symbol" w:hint="default"/>
      </w:rPr>
    </w:lvl>
    <w:lvl w:ilvl="7" w:tplc="6546C516">
      <w:start w:val="1"/>
      <w:numFmt w:val="bullet"/>
      <w:lvlText w:val="o"/>
      <w:lvlJc w:val="left"/>
      <w:pPr>
        <w:ind w:left="5760" w:hanging="360"/>
      </w:pPr>
      <w:rPr>
        <w:rFonts w:ascii="Courier New" w:hAnsi="Courier New" w:hint="default"/>
      </w:rPr>
    </w:lvl>
    <w:lvl w:ilvl="8" w:tplc="97E6BC60">
      <w:start w:val="1"/>
      <w:numFmt w:val="bullet"/>
      <w:lvlText w:val=""/>
      <w:lvlJc w:val="left"/>
      <w:pPr>
        <w:ind w:left="6480" w:hanging="360"/>
      </w:pPr>
      <w:rPr>
        <w:rFonts w:ascii="Wingdings" w:hAnsi="Wingdings" w:hint="default"/>
      </w:rPr>
    </w:lvl>
  </w:abstractNum>
  <w:abstractNum w:abstractNumId="1" w15:restartNumberingAfterBreak="0">
    <w:nsid w:val="35E0840E"/>
    <w:multiLevelType w:val="hybridMultilevel"/>
    <w:tmpl w:val="FFFFFFFF"/>
    <w:lvl w:ilvl="0" w:tplc="D7347ECA">
      <w:start w:val="1"/>
      <w:numFmt w:val="bullet"/>
      <w:lvlText w:val=""/>
      <w:lvlJc w:val="left"/>
      <w:pPr>
        <w:ind w:left="720" w:hanging="360"/>
      </w:pPr>
      <w:rPr>
        <w:rFonts w:ascii="Symbol" w:hAnsi="Symbol" w:hint="default"/>
      </w:rPr>
    </w:lvl>
    <w:lvl w:ilvl="1" w:tplc="8A52E7E4">
      <w:start w:val="1"/>
      <w:numFmt w:val="bullet"/>
      <w:lvlText w:val="o"/>
      <w:lvlJc w:val="left"/>
      <w:pPr>
        <w:ind w:left="1440" w:hanging="360"/>
      </w:pPr>
      <w:rPr>
        <w:rFonts w:ascii="Courier New" w:hAnsi="Courier New" w:hint="default"/>
      </w:rPr>
    </w:lvl>
    <w:lvl w:ilvl="2" w:tplc="C56C7010">
      <w:start w:val="1"/>
      <w:numFmt w:val="bullet"/>
      <w:lvlText w:val=""/>
      <w:lvlJc w:val="left"/>
      <w:pPr>
        <w:ind w:left="2160" w:hanging="360"/>
      </w:pPr>
      <w:rPr>
        <w:rFonts w:ascii="Wingdings" w:hAnsi="Wingdings" w:hint="default"/>
      </w:rPr>
    </w:lvl>
    <w:lvl w:ilvl="3" w:tplc="7F706C42">
      <w:start w:val="1"/>
      <w:numFmt w:val="bullet"/>
      <w:lvlText w:val=""/>
      <w:lvlJc w:val="left"/>
      <w:pPr>
        <w:ind w:left="2880" w:hanging="360"/>
      </w:pPr>
      <w:rPr>
        <w:rFonts w:ascii="Symbol" w:hAnsi="Symbol" w:hint="default"/>
      </w:rPr>
    </w:lvl>
    <w:lvl w:ilvl="4" w:tplc="99165D86">
      <w:start w:val="1"/>
      <w:numFmt w:val="bullet"/>
      <w:lvlText w:val="o"/>
      <w:lvlJc w:val="left"/>
      <w:pPr>
        <w:ind w:left="3600" w:hanging="360"/>
      </w:pPr>
      <w:rPr>
        <w:rFonts w:ascii="Courier New" w:hAnsi="Courier New" w:hint="default"/>
      </w:rPr>
    </w:lvl>
    <w:lvl w:ilvl="5" w:tplc="50821978">
      <w:start w:val="1"/>
      <w:numFmt w:val="bullet"/>
      <w:lvlText w:val=""/>
      <w:lvlJc w:val="left"/>
      <w:pPr>
        <w:ind w:left="4320" w:hanging="360"/>
      </w:pPr>
      <w:rPr>
        <w:rFonts w:ascii="Wingdings" w:hAnsi="Wingdings" w:hint="default"/>
      </w:rPr>
    </w:lvl>
    <w:lvl w:ilvl="6" w:tplc="8766D530">
      <w:start w:val="1"/>
      <w:numFmt w:val="bullet"/>
      <w:lvlText w:val=""/>
      <w:lvlJc w:val="left"/>
      <w:pPr>
        <w:ind w:left="5040" w:hanging="360"/>
      </w:pPr>
      <w:rPr>
        <w:rFonts w:ascii="Symbol" w:hAnsi="Symbol" w:hint="default"/>
      </w:rPr>
    </w:lvl>
    <w:lvl w:ilvl="7" w:tplc="309EA502">
      <w:start w:val="1"/>
      <w:numFmt w:val="bullet"/>
      <w:lvlText w:val="o"/>
      <w:lvlJc w:val="left"/>
      <w:pPr>
        <w:ind w:left="5760" w:hanging="360"/>
      </w:pPr>
      <w:rPr>
        <w:rFonts w:ascii="Courier New" w:hAnsi="Courier New" w:hint="default"/>
      </w:rPr>
    </w:lvl>
    <w:lvl w:ilvl="8" w:tplc="BC4A1960">
      <w:start w:val="1"/>
      <w:numFmt w:val="bullet"/>
      <w:lvlText w:val=""/>
      <w:lvlJc w:val="left"/>
      <w:pPr>
        <w:ind w:left="6480" w:hanging="360"/>
      </w:pPr>
      <w:rPr>
        <w:rFonts w:ascii="Wingdings" w:hAnsi="Wingdings" w:hint="default"/>
      </w:rPr>
    </w:lvl>
  </w:abstractNum>
  <w:num w:numId="1" w16cid:durableId="456030177">
    <w:abstractNumId w:val="1"/>
  </w:num>
  <w:num w:numId="2" w16cid:durableId="65615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FB957"/>
    <w:rsid w:val="000E1BE7"/>
    <w:rsid w:val="00554133"/>
    <w:rsid w:val="00813100"/>
    <w:rsid w:val="00824309"/>
    <w:rsid w:val="00BA4395"/>
    <w:rsid w:val="00DF72D8"/>
    <w:rsid w:val="016FB957"/>
    <w:rsid w:val="06353344"/>
    <w:rsid w:val="2A82760B"/>
    <w:rsid w:val="3DA50229"/>
    <w:rsid w:val="3DD0B2AB"/>
    <w:rsid w:val="3F646CF8"/>
    <w:rsid w:val="6867B9E7"/>
    <w:rsid w:val="68B810C1"/>
    <w:rsid w:val="6B351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7E36E3"/>
  <w15:chartTrackingRefBased/>
  <w15:docId w15:val="{270AFC67-E9FC-4520-B8F7-2E16FF9D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DA5022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7efc24a-3533-414e-b150-c29f5e2e191d}" enabled="1" method="Standard" siteId="{d0b3a1f7-e26c-457b-8e01-b5917b0fc14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Ripani</dc:creator>
  <cp:keywords/>
  <dc:description/>
  <cp:lastModifiedBy>Alessia Ripani</cp:lastModifiedBy>
  <cp:revision>2</cp:revision>
  <dcterms:created xsi:type="dcterms:W3CDTF">2026-01-29T11:43:00Z</dcterms:created>
  <dcterms:modified xsi:type="dcterms:W3CDTF">2026-01-29T11:53:00Z</dcterms:modified>
</cp:coreProperties>
</file>